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eenPortBand"/>
        <w:tblW w:w="5000" w:type="pct"/>
        <w:tblInd w:w="0" w:type="dxa"/>
        <w:tblLayout w:type="fixed"/>
        <w:tblLook w:val="04A0" w:firstRow="1" w:lastRow="0" w:firstColumn="1" w:lastColumn="0" w:noHBand="0" w:noVBand="1"/>
      </w:tblPr>
      <w:tblGrid>
        <w:gridCol w:w="3008"/>
        <w:gridCol w:w="3009"/>
        <w:gridCol w:w="3009"/>
      </w:tblGrid>
      <w:tr w:rsidR="008A604D" w14:paraId="18BCE752" w14:textId="77777777">
        <w:trPr>
          <w:trHeight w:hRule="exact" w:val="420"/>
        </w:trPr>
        <w:tc>
          <w:tcPr>
            <w:tcW w:w="1666" w:type="pct"/>
            <w:shd w:val="clear" w:color="auto" w:fill="8DC63F"/>
          </w:tcPr>
          <w:p w14:paraId="49215861" w14:textId="77777777" w:rsidR="008A604D" w:rsidRDefault="008A604D">
            <w:pPr>
              <w:pStyle w:val="Spacer"/>
            </w:pPr>
          </w:p>
        </w:tc>
        <w:tc>
          <w:tcPr>
            <w:tcW w:w="1666" w:type="pct"/>
            <w:shd w:val="clear" w:color="auto" w:fill="0099D8"/>
          </w:tcPr>
          <w:p w14:paraId="1F486798" w14:textId="77777777" w:rsidR="008A604D" w:rsidRDefault="008A604D">
            <w:pPr>
              <w:pStyle w:val="Spacer"/>
            </w:pPr>
          </w:p>
        </w:tc>
        <w:tc>
          <w:tcPr>
            <w:tcW w:w="1666" w:type="pct"/>
            <w:shd w:val="clear" w:color="auto" w:fill="007DB6"/>
          </w:tcPr>
          <w:p w14:paraId="37BAEA57" w14:textId="77777777" w:rsidR="008A604D" w:rsidRDefault="008A604D">
            <w:pPr>
              <w:pStyle w:val="Spacer"/>
            </w:pPr>
          </w:p>
        </w:tc>
      </w:tr>
    </w:tbl>
    <w:p w14:paraId="2202F4DB" w14:textId="77777777" w:rsidR="008A604D" w:rsidRDefault="008A604D">
      <w:pPr>
        <w:pStyle w:val="Spacer"/>
      </w:pPr>
    </w:p>
    <w:p w14:paraId="667834A5" w14:textId="77777777" w:rsidR="008A604D" w:rsidRDefault="008A604D">
      <w:pPr>
        <w:pStyle w:val="Spacer"/>
      </w:pPr>
    </w:p>
    <w:p w14:paraId="2C889BE6" w14:textId="77777777" w:rsidR="008A604D" w:rsidRDefault="00FD36DC">
      <w:pPr>
        <w:pStyle w:val="CoverEyebrow"/>
      </w:pPr>
      <w:r>
        <w:t>GREEN PORTS TOOLKIT</w:t>
      </w:r>
    </w:p>
    <w:p w14:paraId="0FD186FF" w14:textId="77777777" w:rsidR="008A604D" w:rsidRDefault="00FD36DC">
      <w:pPr>
        <w:pStyle w:val="CoverTitle"/>
      </w:pPr>
      <w:r>
        <w:t>Request to adopt the Green Ports Toolkit</w:t>
      </w:r>
    </w:p>
    <w:p w14:paraId="7434A034" w14:textId="77777777" w:rsidR="008A604D" w:rsidRDefault="00FD36DC">
      <w:pPr>
        <w:pStyle w:val="CoverSubtitle"/>
      </w:pPr>
      <w:r>
        <w:t>Business case for internal approval</w:t>
      </w:r>
    </w:p>
    <w:p w14:paraId="21F2D43E" w14:textId="77777777" w:rsidR="008A604D" w:rsidRDefault="008A604D">
      <w:pPr>
        <w:pStyle w:val="Spacer"/>
      </w:pPr>
    </w:p>
    <w:p w14:paraId="7BC510FB" w14:textId="77777777" w:rsidR="008A604D" w:rsidRDefault="008A604D">
      <w:pPr>
        <w:pStyle w:val="Spacer"/>
      </w:pPr>
    </w:p>
    <w:p w14:paraId="522971CE" w14:textId="77777777" w:rsidR="008A604D" w:rsidRDefault="008A604D">
      <w:pPr>
        <w:pStyle w:val="Spacer"/>
      </w:pPr>
    </w:p>
    <w:p w14:paraId="1AFFD929" w14:textId="77777777" w:rsidR="008A604D" w:rsidRDefault="008A604D">
      <w:pPr>
        <w:pStyle w:val="Spacer"/>
      </w:pPr>
    </w:p>
    <w:p w14:paraId="643AADE5" w14:textId="77777777" w:rsidR="008A604D" w:rsidRDefault="008A604D">
      <w:pPr>
        <w:pStyle w:val="Spacer"/>
      </w:pPr>
    </w:p>
    <w:p w14:paraId="3A2E0647" w14:textId="77777777" w:rsidR="008A604D" w:rsidRDefault="008A604D">
      <w:pPr>
        <w:pStyle w:val="Spacer"/>
      </w:pPr>
    </w:p>
    <w:p w14:paraId="12B3B4B4" w14:textId="77777777" w:rsidR="008A604D" w:rsidRDefault="008A604D">
      <w:pPr>
        <w:pStyle w:val="Spacer"/>
      </w:pPr>
    </w:p>
    <w:p w14:paraId="132807E1" w14:textId="77777777" w:rsidR="008A604D" w:rsidRDefault="008A604D">
      <w:pPr>
        <w:pStyle w:val="Spacer"/>
      </w:pPr>
    </w:p>
    <w:p w14:paraId="01C2F5D8" w14:textId="77777777" w:rsidR="008A604D" w:rsidRDefault="008A604D">
      <w:pPr>
        <w:pStyle w:val="Spacer"/>
      </w:pPr>
    </w:p>
    <w:p w14:paraId="2F5E0E4D" w14:textId="77777777" w:rsidR="008A604D" w:rsidRDefault="008A604D">
      <w:pPr>
        <w:pStyle w:val="Spacer"/>
      </w:pPr>
    </w:p>
    <w:p w14:paraId="4657679B" w14:textId="77777777" w:rsidR="008A604D" w:rsidRDefault="008A604D">
      <w:pPr>
        <w:pStyle w:val="Spacer"/>
      </w:pPr>
    </w:p>
    <w:p w14:paraId="222E88AA" w14:textId="77777777" w:rsidR="008A604D" w:rsidRDefault="008A604D">
      <w:pPr>
        <w:pStyle w:val="Spacer"/>
      </w:pPr>
    </w:p>
    <w:tbl>
      <w:tblPr>
        <w:tblStyle w:val="GreenPortTable"/>
        <w:tblW w:w="5000" w:type="pct"/>
        <w:tblInd w:w="0" w:type="dxa"/>
        <w:tblLayout w:type="fixed"/>
        <w:tblLook w:val="07E0" w:firstRow="1" w:lastRow="1" w:firstColumn="1" w:lastColumn="1" w:noHBand="1" w:noVBand="1"/>
      </w:tblPr>
      <w:tblGrid>
        <w:gridCol w:w="3065"/>
        <w:gridCol w:w="5951"/>
      </w:tblGrid>
      <w:tr w:rsidR="008A604D" w14:paraId="0B993119" w14:textId="77777777">
        <w:trPr>
          <w:cantSplit/>
        </w:trPr>
        <w:tc>
          <w:tcPr>
            <w:tcW w:w="1700" w:type="pct"/>
            <w:shd w:val="clear" w:color="auto" w:fill="F4F8FB"/>
            <w:vAlign w:val="center"/>
          </w:tcPr>
          <w:p w14:paraId="6E3DB60D" w14:textId="77777777" w:rsidR="008A604D" w:rsidRDefault="00FD36DC">
            <w:pPr>
              <w:pStyle w:val="TableLabelCell"/>
            </w:pPr>
            <w:r>
              <w:t>To</w:t>
            </w:r>
          </w:p>
        </w:tc>
        <w:tc>
          <w:tcPr>
            <w:tcW w:w="3300" w:type="pct"/>
            <w:vAlign w:val="center"/>
          </w:tcPr>
          <w:p w14:paraId="507DF7D3" w14:textId="77777777" w:rsidR="008A604D" w:rsidRDefault="00FD36DC">
            <w:pPr>
              <w:pStyle w:val="TableCell"/>
            </w:pPr>
            <w:r>
              <w:t>[Name and position of the person or committee this paper goes to]</w:t>
            </w:r>
          </w:p>
        </w:tc>
      </w:tr>
      <w:tr w:rsidR="008A604D" w14:paraId="2FB5A693" w14:textId="77777777">
        <w:trPr>
          <w:cantSplit/>
        </w:trPr>
        <w:tc>
          <w:tcPr>
            <w:tcW w:w="1700" w:type="pct"/>
            <w:shd w:val="clear" w:color="auto" w:fill="F4F8FB"/>
            <w:vAlign w:val="center"/>
          </w:tcPr>
          <w:p w14:paraId="0EFD3E96" w14:textId="77777777" w:rsidR="008A604D" w:rsidRDefault="00FD36DC">
            <w:pPr>
              <w:pStyle w:val="TableLabelCell"/>
            </w:pPr>
            <w:r>
              <w:t>From</w:t>
            </w:r>
          </w:p>
        </w:tc>
        <w:tc>
          <w:tcPr>
            <w:tcW w:w="3300" w:type="pct"/>
            <w:vAlign w:val="center"/>
          </w:tcPr>
          <w:p w14:paraId="2456C44E" w14:textId="77777777" w:rsidR="008A604D" w:rsidRDefault="00FD36DC">
            <w:pPr>
              <w:pStyle w:val="TableCell"/>
            </w:pPr>
            <w:r>
              <w:t>[Name, position]</w:t>
            </w:r>
          </w:p>
        </w:tc>
      </w:tr>
      <w:tr w:rsidR="008A604D" w14:paraId="0D7D6A9C" w14:textId="77777777">
        <w:trPr>
          <w:cantSplit/>
        </w:trPr>
        <w:tc>
          <w:tcPr>
            <w:tcW w:w="1700" w:type="pct"/>
            <w:shd w:val="clear" w:color="auto" w:fill="F4F8FB"/>
            <w:vAlign w:val="center"/>
          </w:tcPr>
          <w:p w14:paraId="66C41EC1" w14:textId="77777777" w:rsidR="008A604D" w:rsidRDefault="00FD36DC">
            <w:pPr>
              <w:pStyle w:val="TableLabelCell"/>
            </w:pPr>
            <w:r>
              <w:t>Organization</w:t>
            </w:r>
          </w:p>
        </w:tc>
        <w:tc>
          <w:tcPr>
            <w:tcW w:w="3300" w:type="pct"/>
            <w:vAlign w:val="center"/>
          </w:tcPr>
          <w:p w14:paraId="0CDCCBA7" w14:textId="77777777" w:rsidR="008A604D" w:rsidRDefault="00FD36DC">
            <w:pPr>
              <w:pStyle w:val="TableCell"/>
            </w:pPr>
            <w:r>
              <w:t>[Port or port authority]</w:t>
            </w:r>
          </w:p>
        </w:tc>
      </w:tr>
      <w:tr w:rsidR="008A604D" w14:paraId="35EFB9FD" w14:textId="77777777">
        <w:trPr>
          <w:cantSplit/>
        </w:trPr>
        <w:tc>
          <w:tcPr>
            <w:tcW w:w="1700" w:type="pct"/>
            <w:shd w:val="clear" w:color="auto" w:fill="F4F8FB"/>
            <w:vAlign w:val="center"/>
          </w:tcPr>
          <w:p w14:paraId="1F6FAB34" w14:textId="77777777" w:rsidR="008A604D" w:rsidRDefault="00FD36DC">
            <w:pPr>
              <w:pStyle w:val="TableLabelCell"/>
            </w:pPr>
            <w:r>
              <w:t>Date</w:t>
            </w:r>
          </w:p>
        </w:tc>
        <w:tc>
          <w:tcPr>
            <w:tcW w:w="3300" w:type="pct"/>
            <w:vAlign w:val="center"/>
          </w:tcPr>
          <w:p w14:paraId="1A07BD23" w14:textId="77777777" w:rsidR="008A604D" w:rsidRDefault="00FD36DC">
            <w:pPr>
              <w:pStyle w:val="TableCell"/>
            </w:pPr>
            <w:r>
              <w:t>[DD Month YYYY]</w:t>
            </w:r>
          </w:p>
        </w:tc>
      </w:tr>
      <w:tr w:rsidR="008A604D" w14:paraId="16014EE6" w14:textId="77777777">
        <w:trPr>
          <w:cantSplit/>
        </w:trPr>
        <w:tc>
          <w:tcPr>
            <w:tcW w:w="1700" w:type="pct"/>
            <w:shd w:val="clear" w:color="auto" w:fill="F4F8FB"/>
            <w:vAlign w:val="center"/>
          </w:tcPr>
          <w:p w14:paraId="48BEE352" w14:textId="77777777" w:rsidR="008A604D" w:rsidRDefault="00FD36DC">
            <w:pPr>
              <w:pStyle w:val="TableLabelCell"/>
            </w:pPr>
            <w:r>
              <w:t>Decision sought</w:t>
            </w:r>
          </w:p>
        </w:tc>
        <w:tc>
          <w:tcPr>
            <w:tcW w:w="3300" w:type="pct"/>
            <w:vAlign w:val="center"/>
          </w:tcPr>
          <w:p w14:paraId="5E239468" w14:textId="77777777" w:rsidR="008A604D" w:rsidRDefault="00FD36DC">
            <w:pPr>
              <w:pStyle w:val="TableCell"/>
            </w:pPr>
            <w:r>
              <w:t>Approval to register and use the Green Ports Toolkit</w:t>
            </w:r>
          </w:p>
        </w:tc>
      </w:tr>
    </w:tbl>
    <w:p w14:paraId="4B3C7D5C" w14:textId="77777777" w:rsidR="008A604D" w:rsidRDefault="00FD36DC">
      <w:pPr>
        <w:pStyle w:val="BodyCopy"/>
      </w:pPr>
      <w:r>
        <w:br w:type="page"/>
      </w:r>
    </w:p>
    <w:p w14:paraId="6AA207EA" w14:textId="77777777" w:rsidR="008A604D" w:rsidRDefault="00FD36DC">
      <w:pPr>
        <w:pStyle w:val="Heading1"/>
      </w:pPr>
      <w:r>
        <w:lastRenderedPageBreak/>
        <w:t>1. What is being requested</w:t>
      </w:r>
    </w:p>
    <w:p w14:paraId="65167F83" w14:textId="6F4BB65D" w:rsidR="008A604D" w:rsidRDefault="00FD36DC">
      <w:pPr>
        <w:pStyle w:val="BodyCopy"/>
      </w:pPr>
      <w:r>
        <w:t>Approval for [port] to register for and use the Green Ports Toolkit, an online planning and decision-support platform developed for the Asian Development Bank (ADB). There is no subscription fee and no procurement is required. What is being asked for is management endorsement and the staff time set out in Section 4. Registering also means agreeing to ADB using the port's toolkit data as described in Section 5.</w:t>
      </w:r>
    </w:p>
    <w:p w14:paraId="2B26A6D3" w14:textId="77777777" w:rsidR="008A604D" w:rsidRDefault="00FD36DC">
      <w:pPr>
        <w:pStyle w:val="Heading1"/>
      </w:pPr>
      <w:r>
        <w:t>2. What the toolkit is</w:t>
      </w:r>
    </w:p>
    <w:p w14:paraId="04DAA527" w14:textId="77777777" w:rsidR="008A604D" w:rsidRDefault="00FD36DC">
      <w:pPr>
        <w:pStyle w:val="BodyCopy"/>
      </w:pPr>
      <w:r>
        <w:t>The toolkit was developed for ADB by SESG with support from Moffatt &amp; Nichol, funded by the ASEAN Catalytic Green Finance Facility (ACGF), an ASEAN Infrastructure Fund initiative owned by ASEAN governments and ADB. It is free and open access.</w:t>
      </w:r>
    </w:p>
    <w:p w14:paraId="52FE7AFF" w14:textId="77777777" w:rsidR="008A604D" w:rsidRDefault="00FD36DC">
      <w:pPr>
        <w:pStyle w:val="BodyCopy"/>
      </w:pPr>
      <w:r>
        <w:t>It organizes green and resilient port practice into three dimensions, 17 aspects across the port lifecycle, and more than 85 implementable practices. Each practice carries implementation guidance, enabling factors, case studies, mapped UN Sustainable Development Goals and, where applicable, alignment to the technical screening criteria of the ASEAN Taxonomy for Sustainable Finance. The port would use it to:</w:t>
      </w:r>
    </w:p>
    <w:p w14:paraId="07C15A76" w14:textId="77777777" w:rsidR="008A604D" w:rsidRDefault="00FD36DC">
      <w:pPr>
        <w:pStyle w:val="ListParagraph"/>
        <w:numPr>
          <w:ilvl w:val="0"/>
          <w:numId w:val="1"/>
        </w:numPr>
      </w:pPr>
      <w:r>
        <w:t>score itself against the 17 aspects on a structured maturity scale, from Level 1 (none or ad hoc) to Level 4 (advanced or integrated);</w:t>
      </w:r>
    </w:p>
    <w:p w14:paraId="1FB821D5" w14:textId="77777777" w:rsidR="008A604D" w:rsidRDefault="00FD36DC">
      <w:pPr>
        <w:pStyle w:val="ListParagraph"/>
        <w:numPr>
          <w:ilvl w:val="0"/>
          <w:numId w:val="1"/>
        </w:numPr>
      </w:pPr>
      <w:r>
        <w:t>see, for any weak aspect, the practices that would lift it and the evidence behind each one;</w:t>
      </w:r>
    </w:p>
    <w:p w14:paraId="75F6AE5C" w14:textId="77777777" w:rsidR="008A604D" w:rsidRDefault="00FD36DC">
      <w:pPr>
        <w:pStyle w:val="ListParagraph"/>
        <w:numPr>
          <w:ilvl w:val="0"/>
          <w:numId w:val="1"/>
        </w:numPr>
      </w:pPr>
      <w:r>
        <w:t>build a port project: a sequenced set of practices that becomes the starting point for a program of work;</w:t>
      </w:r>
    </w:p>
    <w:p w14:paraId="138BF24A" w14:textId="77777777" w:rsidR="008A604D" w:rsidRDefault="00FD36DC">
      <w:pPr>
        <w:pStyle w:val="ListParagraph"/>
        <w:numPr>
          <w:ilvl w:val="0"/>
          <w:numId w:val="1"/>
        </w:numPr>
      </w:pPr>
      <w:r>
        <w:t>draw on case studies, guidance documents and the Green Ports webinar series in one place.</w:t>
      </w:r>
    </w:p>
    <w:p w14:paraId="7ADAC5E3" w14:textId="77777777" w:rsidR="008A604D" w:rsidRDefault="00FD36DC">
      <w:pPr>
        <w:pStyle w:val="Heading1"/>
      </w:pPr>
      <w:r>
        <w:t>3. Why this is worth doing</w:t>
      </w:r>
    </w:p>
    <w:p w14:paraId="35E6A0D5" w14:textId="77777777" w:rsidR="008A604D" w:rsidRDefault="00FD36DC">
      <w:pPr>
        <w:pStyle w:val="ListParagraph"/>
        <w:numPr>
          <w:ilvl w:val="0"/>
          <w:numId w:val="1"/>
        </w:numPr>
      </w:pPr>
      <w:r>
        <w:t>It replaces opinion with a defensible baseline: a documented position across all 17 aspects rather than a general sense of how the port is performing.</w:t>
      </w:r>
    </w:p>
    <w:p w14:paraId="6BB4DF85" w14:textId="77777777" w:rsidR="008A604D" w:rsidRDefault="00FD36DC">
      <w:pPr>
        <w:pStyle w:val="ListParagraph"/>
        <w:numPr>
          <w:ilvl w:val="0"/>
          <w:numId w:val="1"/>
        </w:numPr>
      </w:pPr>
      <w:r>
        <w:t>It shortens the path from ambition to a funded plan. Practices arrive with implementation guidance and SDG mapping, ready to carry into project papers and funding submissions.</w:t>
      </w:r>
    </w:p>
    <w:p w14:paraId="14EFF0D9" w14:textId="77777777" w:rsidR="008A604D" w:rsidRDefault="00FD36DC">
      <w:pPr>
        <w:pStyle w:val="ListParagraph"/>
        <w:numPr>
          <w:ilvl w:val="0"/>
          <w:numId w:val="1"/>
        </w:numPr>
      </w:pPr>
      <w:r>
        <w:t xml:space="preserve">It uses the language financing </w:t>
      </w:r>
      <w:proofErr w:type="gramStart"/>
      <w:r>
        <w:t>partners</w:t>
      </w:r>
      <w:proofErr w:type="gramEnd"/>
      <w:r>
        <w:t xml:space="preserve"> use. The ASEAN Taxonomy alignment links a practice to the criteria used to assess sustainable finance eligibility.</w:t>
      </w:r>
    </w:p>
    <w:p w14:paraId="53F76E4D" w14:textId="77777777" w:rsidR="008A604D" w:rsidRDefault="00FD36DC">
      <w:pPr>
        <w:pStyle w:val="ListParagraph"/>
        <w:numPr>
          <w:ilvl w:val="0"/>
          <w:numId w:val="1"/>
        </w:numPr>
      </w:pPr>
      <w:r>
        <w:t>It shows movement over time. The assessment can be repeated and earlier results are retained, so progress can be shown to management and funders.</w:t>
      </w:r>
    </w:p>
    <w:p w14:paraId="564F6606" w14:textId="77777777" w:rsidR="008A604D" w:rsidRDefault="00FD36DC">
      <w:pPr>
        <w:pStyle w:val="ListParagraph"/>
        <w:numPr>
          <w:ilvl w:val="0"/>
          <w:numId w:val="1"/>
        </w:numPr>
      </w:pPr>
      <w:r>
        <w:rPr>
          <w:b/>
          <w:bCs/>
        </w:rPr>
        <w:t xml:space="preserve">It puts the port's priorities in front of ADB. </w:t>
      </w:r>
      <w:r>
        <w:t>Because ADB can see the port's assessment results and projects, it can identify where financing, investment or technical assistance may fit.</w:t>
      </w:r>
    </w:p>
    <w:p w14:paraId="3F09DD28" w14:textId="23F4A007" w:rsidR="008A604D" w:rsidRDefault="00FD36DC">
      <w:pPr>
        <w:pStyle w:val="ListParagraph"/>
        <w:numPr>
          <w:ilvl w:val="0"/>
          <w:numId w:val="1"/>
        </w:numPr>
      </w:pPr>
      <w:r>
        <w:t>The downside is contained. There is no fee and no contract, so the main exposure is the staff time in Section 4 and sharing the port's toolkit data with ADB (Section 5), and the port can stop at any point.</w:t>
      </w:r>
    </w:p>
    <w:p w14:paraId="78760D5C" w14:textId="77777777" w:rsidR="008A604D" w:rsidRDefault="00FD36DC">
      <w:pPr>
        <w:pStyle w:val="Heading1"/>
      </w:pPr>
      <w:r>
        <w:lastRenderedPageBreak/>
        <w:t>4. Cost and effort</w:t>
      </w:r>
    </w:p>
    <w:tbl>
      <w:tblPr>
        <w:tblStyle w:val="GreenPortTable"/>
        <w:tblW w:w="5000" w:type="pct"/>
        <w:tblInd w:w="0" w:type="dxa"/>
        <w:tblLayout w:type="fixed"/>
        <w:tblLook w:val="07E0" w:firstRow="1" w:lastRow="1" w:firstColumn="1" w:lastColumn="1" w:noHBand="1" w:noVBand="1"/>
      </w:tblPr>
      <w:tblGrid>
        <w:gridCol w:w="3246"/>
        <w:gridCol w:w="5770"/>
      </w:tblGrid>
      <w:tr w:rsidR="008A604D" w14:paraId="7F46542F" w14:textId="77777777">
        <w:trPr>
          <w:cantSplit/>
          <w:tblHeader/>
        </w:trPr>
        <w:tc>
          <w:tcPr>
            <w:tcW w:w="1800" w:type="pct"/>
            <w:shd w:val="clear" w:color="auto" w:fill="007DB6"/>
            <w:vAlign w:val="center"/>
          </w:tcPr>
          <w:p w14:paraId="63EB8DB6" w14:textId="77777777" w:rsidR="008A604D" w:rsidRDefault="00FD36DC">
            <w:pPr>
              <w:pStyle w:val="TableHeadCell"/>
            </w:pPr>
            <w:r>
              <w:t>Item</w:t>
            </w:r>
          </w:p>
        </w:tc>
        <w:tc>
          <w:tcPr>
            <w:tcW w:w="3200" w:type="pct"/>
            <w:shd w:val="clear" w:color="auto" w:fill="007DB6"/>
            <w:vAlign w:val="center"/>
          </w:tcPr>
          <w:p w14:paraId="5EA872BB" w14:textId="77777777" w:rsidR="008A604D" w:rsidRDefault="00FD36DC">
            <w:pPr>
              <w:pStyle w:val="TableHeadCell"/>
            </w:pPr>
            <w:r>
              <w:t>Cost to the port</w:t>
            </w:r>
          </w:p>
        </w:tc>
      </w:tr>
      <w:tr w:rsidR="008A604D" w14:paraId="1CD3C886" w14:textId="77777777">
        <w:trPr>
          <w:cantSplit/>
        </w:trPr>
        <w:tc>
          <w:tcPr>
            <w:tcW w:w="1800" w:type="pct"/>
            <w:shd w:val="clear" w:color="auto" w:fill="F4F8FB"/>
            <w:vAlign w:val="center"/>
          </w:tcPr>
          <w:p w14:paraId="481890A0" w14:textId="77777777" w:rsidR="008A604D" w:rsidRDefault="00FD36DC">
            <w:pPr>
              <w:pStyle w:val="TableLabelCell"/>
            </w:pPr>
            <w:r>
              <w:t>Subscription or licence fee</w:t>
            </w:r>
          </w:p>
        </w:tc>
        <w:tc>
          <w:tcPr>
            <w:tcW w:w="3200" w:type="pct"/>
            <w:vAlign w:val="center"/>
          </w:tcPr>
          <w:p w14:paraId="71712636" w14:textId="77777777" w:rsidR="008A604D" w:rsidRDefault="00FD36DC">
            <w:pPr>
              <w:pStyle w:val="TableCell"/>
            </w:pPr>
            <w:r>
              <w:t>None. Free and open access, funded by ADB.</w:t>
            </w:r>
          </w:p>
        </w:tc>
      </w:tr>
      <w:tr w:rsidR="008A604D" w14:paraId="2C64496C" w14:textId="77777777">
        <w:trPr>
          <w:cantSplit/>
        </w:trPr>
        <w:tc>
          <w:tcPr>
            <w:tcW w:w="1800" w:type="pct"/>
            <w:shd w:val="clear" w:color="auto" w:fill="F4F8FB"/>
            <w:vAlign w:val="center"/>
          </w:tcPr>
          <w:p w14:paraId="03C08D88" w14:textId="77777777" w:rsidR="008A604D" w:rsidRDefault="00FD36DC">
            <w:pPr>
              <w:pStyle w:val="TableLabelCell"/>
            </w:pPr>
            <w:r>
              <w:t>Procurement or contract</w:t>
            </w:r>
          </w:p>
        </w:tc>
        <w:tc>
          <w:tcPr>
            <w:tcW w:w="3200" w:type="pct"/>
            <w:vAlign w:val="center"/>
          </w:tcPr>
          <w:p w14:paraId="0D024D83" w14:textId="77777777" w:rsidR="008A604D" w:rsidRDefault="00FD36DC">
            <w:pPr>
              <w:pStyle w:val="TableCell"/>
            </w:pPr>
            <w:r>
              <w:t>Not required. Registration is completed online.</w:t>
            </w:r>
          </w:p>
        </w:tc>
      </w:tr>
      <w:tr w:rsidR="008A604D" w14:paraId="68A79D5C" w14:textId="77777777">
        <w:trPr>
          <w:cantSplit/>
        </w:trPr>
        <w:tc>
          <w:tcPr>
            <w:tcW w:w="1800" w:type="pct"/>
            <w:shd w:val="clear" w:color="auto" w:fill="F4F8FB"/>
            <w:vAlign w:val="center"/>
          </w:tcPr>
          <w:p w14:paraId="1E617BDE" w14:textId="77777777" w:rsidR="008A604D" w:rsidRDefault="00FD36DC">
            <w:pPr>
              <w:pStyle w:val="TableLabelCell"/>
            </w:pPr>
            <w:r>
              <w:t>IT installation or integration</w:t>
            </w:r>
          </w:p>
        </w:tc>
        <w:tc>
          <w:tcPr>
            <w:tcW w:w="3200" w:type="pct"/>
            <w:vAlign w:val="center"/>
          </w:tcPr>
          <w:p w14:paraId="1CD9C001" w14:textId="77777777" w:rsidR="008A604D" w:rsidRDefault="00FD36DC">
            <w:pPr>
              <w:pStyle w:val="TableCell"/>
            </w:pPr>
            <w:r>
              <w:t>None. Browser-based, no software to install.</w:t>
            </w:r>
          </w:p>
        </w:tc>
      </w:tr>
      <w:tr w:rsidR="008A604D" w14:paraId="4CDAEE55" w14:textId="77777777">
        <w:trPr>
          <w:cantSplit/>
        </w:trPr>
        <w:tc>
          <w:tcPr>
            <w:tcW w:w="1800" w:type="pct"/>
            <w:shd w:val="clear" w:color="auto" w:fill="F4F8FB"/>
            <w:vAlign w:val="center"/>
          </w:tcPr>
          <w:p w14:paraId="014CB8B4" w14:textId="77777777" w:rsidR="008A604D" w:rsidRDefault="00FD36DC">
            <w:pPr>
              <w:pStyle w:val="TableLabelCell"/>
            </w:pPr>
            <w:r>
              <w:t>Staff time, initial assessment</w:t>
            </w:r>
          </w:p>
        </w:tc>
        <w:tc>
          <w:tcPr>
            <w:tcW w:w="3200" w:type="pct"/>
            <w:vAlign w:val="center"/>
          </w:tcPr>
          <w:p w14:paraId="7756828A" w14:textId="77777777" w:rsidR="008A604D" w:rsidRDefault="00FD36DC">
            <w:pPr>
              <w:pStyle w:val="TableCell"/>
            </w:pPr>
            <w:r>
              <w:t>[Indicative: half a day to a day for a first pass, plus evidence gathering. Confirm with your team.]</w:t>
            </w:r>
          </w:p>
        </w:tc>
      </w:tr>
      <w:tr w:rsidR="008A604D" w14:paraId="2F54228E" w14:textId="77777777">
        <w:trPr>
          <w:cantSplit/>
        </w:trPr>
        <w:tc>
          <w:tcPr>
            <w:tcW w:w="1800" w:type="pct"/>
            <w:shd w:val="clear" w:color="auto" w:fill="F4F8FB"/>
            <w:vAlign w:val="center"/>
          </w:tcPr>
          <w:p w14:paraId="05F5FE30" w14:textId="77777777" w:rsidR="008A604D" w:rsidRDefault="00FD36DC">
            <w:pPr>
              <w:pStyle w:val="TableLabelCell"/>
            </w:pPr>
            <w:r>
              <w:t>Staff time, ongoing</w:t>
            </w:r>
          </w:p>
        </w:tc>
        <w:tc>
          <w:tcPr>
            <w:tcW w:w="3200" w:type="pct"/>
            <w:vAlign w:val="center"/>
          </w:tcPr>
          <w:p w14:paraId="4925199B" w14:textId="77777777" w:rsidR="008A604D" w:rsidRDefault="00FD36DC">
            <w:pPr>
              <w:pStyle w:val="TableCell"/>
            </w:pPr>
            <w:r>
              <w:t>[Indicative: re-assessment annually or every two years, plus project updates.]</w:t>
            </w:r>
          </w:p>
        </w:tc>
      </w:tr>
    </w:tbl>
    <w:p w14:paraId="49BE73DB" w14:textId="77777777" w:rsidR="008A604D" w:rsidRDefault="00FD36DC">
      <w:pPr>
        <w:pStyle w:val="Heading1"/>
      </w:pPr>
      <w:r>
        <w:t>5. What it is not, and how data is handled</w:t>
      </w:r>
    </w:p>
    <w:p w14:paraId="2A6F8355" w14:textId="77777777" w:rsidR="008A604D" w:rsidRDefault="00FD36DC">
      <w:pPr>
        <w:pStyle w:val="ListParagraph"/>
        <w:numPr>
          <w:ilvl w:val="0"/>
          <w:numId w:val="1"/>
        </w:numPr>
      </w:pPr>
      <w:r>
        <w:t>It is not a certification or accreditation scheme. It references recognized schemes; using it does not certify the port.</w:t>
      </w:r>
    </w:p>
    <w:p w14:paraId="130E2780" w14:textId="77777777" w:rsidR="008A604D" w:rsidRDefault="00FD36DC">
      <w:pPr>
        <w:pStyle w:val="ListParagraph"/>
        <w:numPr>
          <w:ilvl w:val="0"/>
          <w:numId w:val="1"/>
        </w:numPr>
      </w:pPr>
      <w:r>
        <w:t>It does not replace site-specific engineering, environmental or regulatory work. The site detail, approval pathways and local requirements remain the port’s own.</w:t>
      </w:r>
    </w:p>
    <w:p w14:paraId="210E2840" w14:textId="77777777" w:rsidR="008A604D" w:rsidRDefault="00FD36DC">
      <w:pPr>
        <w:pStyle w:val="ListParagraph"/>
        <w:numPr>
          <w:ilvl w:val="0"/>
          <w:numId w:val="1"/>
        </w:numPr>
      </w:pPr>
      <w:r>
        <w:t>It does not commit the port to any investment. Anything it identifies still goes through the port’s normal approval process.</w:t>
      </w:r>
    </w:p>
    <w:p w14:paraId="372AF56B" w14:textId="7AAC01E2" w:rsidR="008A604D" w:rsidRDefault="00FD36DC">
      <w:pPr>
        <w:pStyle w:val="ListParagraph"/>
        <w:numPr>
          <w:ilvl w:val="0"/>
          <w:numId w:val="1"/>
        </w:numPr>
      </w:pPr>
      <w:r>
        <w:t>Port data is not visible to other organizations and cannot be compared against other named organizations. It is visible to ADB, as owner of the toolkit.</w:t>
      </w:r>
    </w:p>
    <w:p w14:paraId="0615DF5E" w14:textId="77777777" w:rsidR="008A604D" w:rsidRDefault="00FD36DC">
      <w:pPr>
        <w:pStyle w:val="ListParagraph"/>
        <w:numPr>
          <w:ilvl w:val="0"/>
          <w:numId w:val="1"/>
        </w:numPr>
      </w:pPr>
      <w:r>
        <w:rPr>
          <w:b/>
          <w:bCs/>
        </w:rPr>
        <w:t xml:space="preserve">What ADB can see: </w:t>
      </w:r>
      <w:r>
        <w:t>the port's organization details, port profile, maturity assessment results and projects, including indicative cost ranges.</w:t>
      </w:r>
    </w:p>
    <w:p w14:paraId="1026D64B" w14:textId="77777777" w:rsidR="008A604D" w:rsidRDefault="00FD36DC">
      <w:pPr>
        <w:pStyle w:val="ListParagraph"/>
        <w:numPr>
          <w:ilvl w:val="0"/>
          <w:numId w:val="1"/>
        </w:numPr>
      </w:pPr>
      <w:r>
        <w:rPr>
          <w:b/>
          <w:bCs/>
        </w:rPr>
        <w:t xml:space="preserve">How ADB will use it: </w:t>
      </w:r>
      <w:r>
        <w:t>to identify potential financing, investment, technical assistance and engagement opportunities, and to contact the port about them. Agreeing to this use is a condition of registering an account. The port is asked for this consent before it creates an account or enters any information.</w:t>
      </w:r>
    </w:p>
    <w:p w14:paraId="3CF7B71D" w14:textId="77777777" w:rsidR="008A604D" w:rsidRDefault="00FD36DC">
      <w:pPr>
        <w:pStyle w:val="ListParagraph"/>
        <w:numPr>
          <w:ilvl w:val="0"/>
          <w:numId w:val="1"/>
        </w:numPr>
      </w:pPr>
      <w:r>
        <w:rPr>
          <w:b/>
          <w:bCs/>
        </w:rPr>
        <w:t xml:space="preserve">Aggregated data: </w:t>
      </w:r>
      <w:r>
        <w:t>ADB may also use aggregated or de-identified data, which does not identify the port, for sector reporting, research, presentations and improving the toolkit.</w:t>
      </w:r>
    </w:p>
    <w:p w14:paraId="0638B266" w14:textId="77777777" w:rsidR="008A604D" w:rsidRDefault="00FD36DC">
      <w:pPr>
        <w:pStyle w:val="ListParagraph"/>
        <w:numPr>
          <w:ilvl w:val="0"/>
          <w:numId w:val="1"/>
        </w:numPr>
      </w:pPr>
      <w:r>
        <w:rPr>
          <w:b/>
          <w:bCs/>
        </w:rPr>
        <w:t xml:space="preserve">What not to enter: </w:t>
      </w:r>
      <w:r>
        <w:t>names of individuals, confidential figures or other commercially sensitive information, including in the free-text question on project delays.</w:t>
      </w:r>
    </w:p>
    <w:p w14:paraId="4820A4E2" w14:textId="77777777" w:rsidR="008A604D" w:rsidRDefault="00FD36DC">
      <w:pPr>
        <w:pStyle w:val="ListParagraph"/>
        <w:numPr>
          <w:ilvl w:val="0"/>
          <w:numId w:val="1"/>
        </w:numPr>
      </w:pPr>
      <w:r>
        <w:rPr>
          <w:b/>
          <w:bCs/>
        </w:rPr>
        <w:t xml:space="preserve">Closing the account: </w:t>
      </w:r>
      <w:r>
        <w:t>if the port closes its account, ADB stops using its data for pipeline and engagement purposes, and the data is deleted or anonymized within 60 months. The toolkit's Privacy Policy and Terms of Use set out the full terms and should be read before registering.</w:t>
      </w:r>
    </w:p>
    <w:p w14:paraId="276243ED" w14:textId="77777777" w:rsidR="008A604D" w:rsidRDefault="00FD36DC">
      <w:pPr>
        <w:pStyle w:val="ListParagraph"/>
        <w:numPr>
          <w:ilvl w:val="0"/>
          <w:numId w:val="1"/>
        </w:numPr>
      </w:pPr>
      <w:r>
        <w:t>Access is by named user with assigned roles, not a shared login, so responsibility for entries is clear.</w:t>
      </w:r>
    </w:p>
    <w:p w14:paraId="7FD49C0F" w14:textId="77777777" w:rsidR="008A604D" w:rsidRDefault="00FD36DC">
      <w:pPr>
        <w:pStyle w:val="ListParagraph"/>
        <w:numPr>
          <w:ilvl w:val="0"/>
          <w:numId w:val="1"/>
        </w:numPr>
      </w:pPr>
      <w:r>
        <w:t>More than one facility can sit under the same organization, and external users such as terminal operators can be invited where the port chooses.</w:t>
      </w:r>
    </w:p>
    <w:p w14:paraId="1A73D7CC" w14:textId="77777777" w:rsidR="008A604D" w:rsidRDefault="00FD36DC">
      <w:pPr>
        <w:pStyle w:val="ListParagraph"/>
        <w:numPr>
          <w:ilvl w:val="0"/>
          <w:numId w:val="1"/>
        </w:numPr>
      </w:pPr>
      <w:r>
        <w:t>Content is drawn from international frameworks, standards and documented port practice, with sources cited.</w:t>
      </w:r>
    </w:p>
    <w:p w14:paraId="692A79C2" w14:textId="77777777" w:rsidR="008A604D" w:rsidRDefault="00FD36DC">
      <w:pPr>
        <w:pStyle w:val="Heading1"/>
      </w:pPr>
      <w:r>
        <w:lastRenderedPageBreak/>
        <w:t>6. Proposed next steps</w:t>
      </w:r>
    </w:p>
    <w:tbl>
      <w:tblPr>
        <w:tblStyle w:val="GreenPortTable"/>
        <w:tblW w:w="5000" w:type="pct"/>
        <w:tblInd w:w="0" w:type="dxa"/>
        <w:tblLayout w:type="fixed"/>
        <w:tblLook w:val="07E0" w:firstRow="1" w:lastRow="1" w:firstColumn="1" w:lastColumn="1" w:noHBand="1" w:noVBand="1"/>
      </w:tblPr>
      <w:tblGrid>
        <w:gridCol w:w="5409"/>
        <w:gridCol w:w="1984"/>
        <w:gridCol w:w="1623"/>
      </w:tblGrid>
      <w:tr w:rsidR="008A604D" w14:paraId="29A42F25" w14:textId="77777777">
        <w:trPr>
          <w:cantSplit/>
          <w:tblHeader/>
        </w:trPr>
        <w:tc>
          <w:tcPr>
            <w:tcW w:w="3000" w:type="pct"/>
            <w:shd w:val="clear" w:color="auto" w:fill="007DB6"/>
            <w:vAlign w:val="center"/>
          </w:tcPr>
          <w:p w14:paraId="1D8E00B7" w14:textId="77777777" w:rsidR="008A604D" w:rsidRDefault="00FD36DC">
            <w:pPr>
              <w:pStyle w:val="TableHeadCell"/>
            </w:pPr>
            <w:r>
              <w:t>Step</w:t>
            </w:r>
          </w:p>
        </w:tc>
        <w:tc>
          <w:tcPr>
            <w:tcW w:w="1100" w:type="pct"/>
            <w:shd w:val="clear" w:color="auto" w:fill="007DB6"/>
            <w:vAlign w:val="center"/>
          </w:tcPr>
          <w:p w14:paraId="6BBE1BE8" w14:textId="77777777" w:rsidR="008A604D" w:rsidRDefault="00FD36DC">
            <w:pPr>
              <w:pStyle w:val="TableHeadCell"/>
            </w:pPr>
            <w:r>
              <w:t>Owner</w:t>
            </w:r>
          </w:p>
        </w:tc>
        <w:tc>
          <w:tcPr>
            <w:tcW w:w="900" w:type="pct"/>
            <w:shd w:val="clear" w:color="auto" w:fill="007DB6"/>
            <w:vAlign w:val="center"/>
          </w:tcPr>
          <w:p w14:paraId="774192A8" w14:textId="77777777" w:rsidR="008A604D" w:rsidRDefault="00FD36DC">
            <w:pPr>
              <w:pStyle w:val="TableHeadCell"/>
            </w:pPr>
            <w:r>
              <w:t>By</w:t>
            </w:r>
          </w:p>
        </w:tc>
      </w:tr>
      <w:tr w:rsidR="008A604D" w14:paraId="0E8FFF09" w14:textId="77777777">
        <w:trPr>
          <w:cantSplit/>
        </w:trPr>
        <w:tc>
          <w:tcPr>
            <w:tcW w:w="3000" w:type="pct"/>
            <w:shd w:val="clear" w:color="auto" w:fill="F4F8FB"/>
            <w:vAlign w:val="center"/>
          </w:tcPr>
          <w:p w14:paraId="1AB15883" w14:textId="375785BB" w:rsidR="008A604D" w:rsidRDefault="00FD36DC">
            <w:pPr>
              <w:pStyle w:val="TableLabelCell"/>
            </w:pPr>
            <w:r>
              <w:t>Register the port and nominate an administrator (including agreeing to the Terms of Use, Privacy Policy and ADB data-use consent)</w:t>
            </w:r>
          </w:p>
        </w:tc>
        <w:tc>
          <w:tcPr>
            <w:tcW w:w="1100" w:type="pct"/>
            <w:vAlign w:val="center"/>
          </w:tcPr>
          <w:p w14:paraId="209D6AAA" w14:textId="77777777" w:rsidR="008A604D" w:rsidRDefault="00FD36DC">
            <w:pPr>
              <w:pStyle w:val="TableCell"/>
            </w:pPr>
            <w:r>
              <w:t>[Name]</w:t>
            </w:r>
          </w:p>
        </w:tc>
        <w:tc>
          <w:tcPr>
            <w:tcW w:w="900" w:type="pct"/>
            <w:vAlign w:val="center"/>
          </w:tcPr>
          <w:p w14:paraId="5211C3C3" w14:textId="77777777" w:rsidR="008A604D" w:rsidRDefault="00FD36DC">
            <w:pPr>
              <w:pStyle w:val="TableCell"/>
            </w:pPr>
            <w:r>
              <w:t>[Date]</w:t>
            </w:r>
          </w:p>
        </w:tc>
      </w:tr>
      <w:tr w:rsidR="008A604D" w14:paraId="28A6DBEB" w14:textId="77777777">
        <w:trPr>
          <w:cantSplit/>
        </w:trPr>
        <w:tc>
          <w:tcPr>
            <w:tcW w:w="3000" w:type="pct"/>
            <w:shd w:val="clear" w:color="auto" w:fill="F4F8FB"/>
            <w:vAlign w:val="center"/>
          </w:tcPr>
          <w:p w14:paraId="4537C506" w14:textId="77777777" w:rsidR="008A604D" w:rsidRDefault="00FD36DC">
            <w:pPr>
              <w:pStyle w:val="TableLabelCell"/>
            </w:pPr>
            <w:r>
              <w:t>Complete the aspect-level maturity assessment</w:t>
            </w:r>
          </w:p>
        </w:tc>
        <w:tc>
          <w:tcPr>
            <w:tcW w:w="1100" w:type="pct"/>
            <w:vAlign w:val="center"/>
          </w:tcPr>
          <w:p w14:paraId="078E5F55" w14:textId="77777777" w:rsidR="008A604D" w:rsidRDefault="00FD36DC">
            <w:pPr>
              <w:pStyle w:val="TableCell"/>
            </w:pPr>
            <w:r>
              <w:t>[Name]</w:t>
            </w:r>
          </w:p>
        </w:tc>
        <w:tc>
          <w:tcPr>
            <w:tcW w:w="900" w:type="pct"/>
            <w:vAlign w:val="center"/>
          </w:tcPr>
          <w:p w14:paraId="7BEC05C9" w14:textId="77777777" w:rsidR="008A604D" w:rsidRDefault="00FD36DC">
            <w:pPr>
              <w:pStyle w:val="TableCell"/>
            </w:pPr>
            <w:r>
              <w:t>[Date]</w:t>
            </w:r>
          </w:p>
        </w:tc>
      </w:tr>
      <w:tr w:rsidR="008A604D" w14:paraId="72A15F3B" w14:textId="77777777">
        <w:trPr>
          <w:cantSplit/>
        </w:trPr>
        <w:tc>
          <w:tcPr>
            <w:tcW w:w="3000" w:type="pct"/>
            <w:shd w:val="clear" w:color="auto" w:fill="F4F8FB"/>
            <w:vAlign w:val="center"/>
          </w:tcPr>
          <w:p w14:paraId="244F8F6E" w14:textId="77777777" w:rsidR="008A604D" w:rsidRDefault="00FD36DC">
            <w:pPr>
              <w:pStyle w:val="TableLabelCell"/>
            </w:pPr>
            <w:r>
              <w:t>Report the results and priority aspects to [management or board]</w:t>
            </w:r>
          </w:p>
        </w:tc>
        <w:tc>
          <w:tcPr>
            <w:tcW w:w="1100" w:type="pct"/>
            <w:vAlign w:val="center"/>
          </w:tcPr>
          <w:p w14:paraId="1B3E2643" w14:textId="77777777" w:rsidR="008A604D" w:rsidRDefault="00FD36DC">
            <w:pPr>
              <w:pStyle w:val="TableCell"/>
            </w:pPr>
            <w:r>
              <w:t>[Name]</w:t>
            </w:r>
          </w:p>
        </w:tc>
        <w:tc>
          <w:tcPr>
            <w:tcW w:w="900" w:type="pct"/>
            <w:vAlign w:val="center"/>
          </w:tcPr>
          <w:p w14:paraId="3A4E8DC4" w14:textId="77777777" w:rsidR="008A604D" w:rsidRDefault="00FD36DC">
            <w:pPr>
              <w:pStyle w:val="TableCell"/>
            </w:pPr>
            <w:r>
              <w:t>[Date]</w:t>
            </w:r>
          </w:p>
        </w:tc>
      </w:tr>
      <w:tr w:rsidR="008A604D" w14:paraId="687816F3" w14:textId="77777777">
        <w:trPr>
          <w:cantSplit/>
        </w:trPr>
        <w:tc>
          <w:tcPr>
            <w:tcW w:w="3000" w:type="pct"/>
            <w:shd w:val="clear" w:color="auto" w:fill="F4F8FB"/>
            <w:vAlign w:val="center"/>
          </w:tcPr>
          <w:p w14:paraId="33CF6221" w14:textId="77777777" w:rsidR="008A604D" w:rsidRDefault="00FD36DC">
            <w:pPr>
              <w:pStyle w:val="TableLabelCell"/>
            </w:pPr>
            <w:r>
              <w:t>Build the first port project from those priority aspects</w:t>
            </w:r>
          </w:p>
        </w:tc>
        <w:tc>
          <w:tcPr>
            <w:tcW w:w="1100" w:type="pct"/>
            <w:vAlign w:val="center"/>
          </w:tcPr>
          <w:p w14:paraId="35F46408" w14:textId="77777777" w:rsidR="008A604D" w:rsidRDefault="00FD36DC">
            <w:pPr>
              <w:pStyle w:val="TableCell"/>
            </w:pPr>
            <w:r>
              <w:t>[Name]</w:t>
            </w:r>
          </w:p>
        </w:tc>
        <w:tc>
          <w:tcPr>
            <w:tcW w:w="900" w:type="pct"/>
            <w:vAlign w:val="center"/>
          </w:tcPr>
          <w:p w14:paraId="7BAE4ACA" w14:textId="77777777" w:rsidR="008A604D" w:rsidRDefault="00FD36DC">
            <w:pPr>
              <w:pStyle w:val="TableCell"/>
            </w:pPr>
            <w:r>
              <w:t>[Date]</w:t>
            </w:r>
          </w:p>
        </w:tc>
      </w:tr>
      <w:tr w:rsidR="008A604D" w14:paraId="53EB8672" w14:textId="77777777">
        <w:trPr>
          <w:cantSplit/>
        </w:trPr>
        <w:tc>
          <w:tcPr>
            <w:tcW w:w="3000" w:type="pct"/>
            <w:shd w:val="clear" w:color="auto" w:fill="F4F8FB"/>
            <w:vAlign w:val="center"/>
          </w:tcPr>
          <w:p w14:paraId="621553F3" w14:textId="77777777" w:rsidR="008A604D" w:rsidRDefault="00FD36DC">
            <w:pPr>
              <w:pStyle w:val="TableLabelCell"/>
            </w:pPr>
            <w:r>
              <w:t>Re-assess and report progress</w:t>
            </w:r>
          </w:p>
        </w:tc>
        <w:tc>
          <w:tcPr>
            <w:tcW w:w="1100" w:type="pct"/>
            <w:vAlign w:val="center"/>
          </w:tcPr>
          <w:p w14:paraId="67426BCA" w14:textId="77777777" w:rsidR="008A604D" w:rsidRDefault="00FD36DC">
            <w:pPr>
              <w:pStyle w:val="TableCell"/>
            </w:pPr>
            <w:r>
              <w:t>[Name]</w:t>
            </w:r>
          </w:p>
        </w:tc>
        <w:tc>
          <w:tcPr>
            <w:tcW w:w="900" w:type="pct"/>
            <w:vAlign w:val="center"/>
          </w:tcPr>
          <w:p w14:paraId="7A2E0E67" w14:textId="77777777" w:rsidR="008A604D" w:rsidRDefault="00FD36DC">
            <w:pPr>
              <w:pStyle w:val="TableCell"/>
            </w:pPr>
            <w:r>
              <w:t>[Annual]</w:t>
            </w:r>
          </w:p>
        </w:tc>
      </w:tr>
    </w:tbl>
    <w:p w14:paraId="0D91952A" w14:textId="77777777" w:rsidR="008A604D" w:rsidRDefault="00FD36DC">
      <w:pPr>
        <w:pStyle w:val="Heading2"/>
      </w:pPr>
      <w:r>
        <w:t>Approval</w:t>
      </w:r>
    </w:p>
    <w:tbl>
      <w:tblPr>
        <w:tblStyle w:val="GreenPortTable"/>
        <w:tblW w:w="5000" w:type="pct"/>
        <w:tblInd w:w="0" w:type="dxa"/>
        <w:tblLayout w:type="fixed"/>
        <w:tblLook w:val="07E0" w:firstRow="1" w:lastRow="1" w:firstColumn="1" w:lastColumn="1" w:noHBand="1" w:noVBand="1"/>
      </w:tblPr>
      <w:tblGrid>
        <w:gridCol w:w="1802"/>
        <w:gridCol w:w="1984"/>
        <w:gridCol w:w="1984"/>
        <w:gridCol w:w="1803"/>
        <w:gridCol w:w="1443"/>
      </w:tblGrid>
      <w:tr w:rsidR="008A604D" w14:paraId="60D422E9" w14:textId="77777777">
        <w:trPr>
          <w:cantSplit/>
          <w:tblHeader/>
        </w:trPr>
        <w:tc>
          <w:tcPr>
            <w:tcW w:w="1000" w:type="pct"/>
            <w:shd w:val="clear" w:color="auto" w:fill="007DB6"/>
            <w:vAlign w:val="center"/>
          </w:tcPr>
          <w:p w14:paraId="25142641" w14:textId="77777777" w:rsidR="008A604D" w:rsidRDefault="008A604D">
            <w:pPr>
              <w:pStyle w:val="TableHeadCell"/>
            </w:pPr>
          </w:p>
        </w:tc>
        <w:tc>
          <w:tcPr>
            <w:tcW w:w="1100" w:type="pct"/>
            <w:shd w:val="clear" w:color="auto" w:fill="007DB6"/>
            <w:vAlign w:val="center"/>
          </w:tcPr>
          <w:p w14:paraId="110C55B8" w14:textId="77777777" w:rsidR="008A604D" w:rsidRDefault="00FD36DC">
            <w:pPr>
              <w:pStyle w:val="TableHeadCell"/>
            </w:pPr>
            <w:r>
              <w:t>Name</w:t>
            </w:r>
          </w:p>
        </w:tc>
        <w:tc>
          <w:tcPr>
            <w:tcW w:w="1100" w:type="pct"/>
            <w:shd w:val="clear" w:color="auto" w:fill="007DB6"/>
            <w:vAlign w:val="center"/>
          </w:tcPr>
          <w:p w14:paraId="21413FF9" w14:textId="77777777" w:rsidR="008A604D" w:rsidRDefault="00FD36DC">
            <w:pPr>
              <w:pStyle w:val="TableHeadCell"/>
            </w:pPr>
            <w:r>
              <w:t>Position</w:t>
            </w:r>
          </w:p>
        </w:tc>
        <w:tc>
          <w:tcPr>
            <w:tcW w:w="1000" w:type="pct"/>
            <w:shd w:val="clear" w:color="auto" w:fill="007DB6"/>
            <w:vAlign w:val="center"/>
          </w:tcPr>
          <w:p w14:paraId="5F3FFBE9" w14:textId="77777777" w:rsidR="008A604D" w:rsidRDefault="00FD36DC">
            <w:pPr>
              <w:pStyle w:val="TableHeadCell"/>
            </w:pPr>
            <w:r>
              <w:t>Signature</w:t>
            </w:r>
          </w:p>
        </w:tc>
        <w:tc>
          <w:tcPr>
            <w:tcW w:w="800" w:type="pct"/>
            <w:shd w:val="clear" w:color="auto" w:fill="007DB6"/>
            <w:vAlign w:val="center"/>
          </w:tcPr>
          <w:p w14:paraId="34B00C49" w14:textId="77777777" w:rsidR="008A604D" w:rsidRDefault="00FD36DC">
            <w:pPr>
              <w:pStyle w:val="TableHeadCell"/>
            </w:pPr>
            <w:r>
              <w:t>Date</w:t>
            </w:r>
          </w:p>
        </w:tc>
      </w:tr>
      <w:tr w:rsidR="008A604D" w14:paraId="1FC70021" w14:textId="77777777">
        <w:trPr>
          <w:cantSplit/>
        </w:trPr>
        <w:tc>
          <w:tcPr>
            <w:tcW w:w="1000" w:type="pct"/>
            <w:shd w:val="clear" w:color="auto" w:fill="F4F8FB"/>
            <w:vAlign w:val="center"/>
          </w:tcPr>
          <w:p w14:paraId="454C2F0B" w14:textId="77777777" w:rsidR="008A604D" w:rsidRDefault="00FD36DC">
            <w:pPr>
              <w:pStyle w:val="TableLabelCell"/>
            </w:pPr>
            <w:r>
              <w:t>Prepared by</w:t>
            </w:r>
          </w:p>
        </w:tc>
        <w:tc>
          <w:tcPr>
            <w:tcW w:w="1100" w:type="pct"/>
            <w:vAlign w:val="center"/>
          </w:tcPr>
          <w:p w14:paraId="16B59024" w14:textId="77777777" w:rsidR="008A604D" w:rsidRDefault="00FD36DC">
            <w:pPr>
              <w:pStyle w:val="TableCell"/>
            </w:pPr>
            <w:r>
              <w:t>[Name]</w:t>
            </w:r>
          </w:p>
        </w:tc>
        <w:tc>
          <w:tcPr>
            <w:tcW w:w="1100" w:type="pct"/>
            <w:vAlign w:val="center"/>
          </w:tcPr>
          <w:p w14:paraId="4E677212" w14:textId="77777777" w:rsidR="008A604D" w:rsidRDefault="00FD36DC">
            <w:pPr>
              <w:pStyle w:val="TableCell"/>
            </w:pPr>
            <w:r>
              <w:t>[Position]</w:t>
            </w:r>
          </w:p>
        </w:tc>
        <w:tc>
          <w:tcPr>
            <w:tcW w:w="1000" w:type="pct"/>
            <w:vAlign w:val="center"/>
          </w:tcPr>
          <w:p w14:paraId="718FF0D5" w14:textId="77777777" w:rsidR="008A604D" w:rsidRDefault="008A604D">
            <w:pPr>
              <w:pStyle w:val="TableCell"/>
            </w:pPr>
          </w:p>
        </w:tc>
        <w:tc>
          <w:tcPr>
            <w:tcW w:w="800" w:type="pct"/>
            <w:vAlign w:val="center"/>
          </w:tcPr>
          <w:p w14:paraId="3A17027B" w14:textId="77777777" w:rsidR="008A604D" w:rsidRDefault="008A604D">
            <w:pPr>
              <w:pStyle w:val="TableCell"/>
            </w:pPr>
          </w:p>
        </w:tc>
      </w:tr>
      <w:tr w:rsidR="008A604D" w14:paraId="2D55228A" w14:textId="77777777">
        <w:trPr>
          <w:cantSplit/>
        </w:trPr>
        <w:tc>
          <w:tcPr>
            <w:tcW w:w="1000" w:type="pct"/>
            <w:shd w:val="clear" w:color="auto" w:fill="F4F8FB"/>
            <w:vAlign w:val="center"/>
          </w:tcPr>
          <w:p w14:paraId="305CA47E" w14:textId="77777777" w:rsidR="008A604D" w:rsidRDefault="00FD36DC">
            <w:pPr>
              <w:pStyle w:val="TableLabelCell"/>
            </w:pPr>
            <w:r>
              <w:t>Reviewed by</w:t>
            </w:r>
          </w:p>
        </w:tc>
        <w:tc>
          <w:tcPr>
            <w:tcW w:w="1100" w:type="pct"/>
            <w:vAlign w:val="center"/>
          </w:tcPr>
          <w:p w14:paraId="6D1F3995" w14:textId="77777777" w:rsidR="008A604D" w:rsidRDefault="00FD36DC">
            <w:pPr>
              <w:pStyle w:val="TableCell"/>
            </w:pPr>
            <w:r>
              <w:t>[Name]</w:t>
            </w:r>
          </w:p>
        </w:tc>
        <w:tc>
          <w:tcPr>
            <w:tcW w:w="1100" w:type="pct"/>
            <w:vAlign w:val="center"/>
          </w:tcPr>
          <w:p w14:paraId="61F0F1BA" w14:textId="77777777" w:rsidR="008A604D" w:rsidRDefault="00FD36DC">
            <w:pPr>
              <w:pStyle w:val="TableCell"/>
            </w:pPr>
            <w:r>
              <w:t>[Position]</w:t>
            </w:r>
          </w:p>
        </w:tc>
        <w:tc>
          <w:tcPr>
            <w:tcW w:w="1000" w:type="pct"/>
            <w:vAlign w:val="center"/>
          </w:tcPr>
          <w:p w14:paraId="73765C49" w14:textId="77777777" w:rsidR="008A604D" w:rsidRDefault="008A604D">
            <w:pPr>
              <w:pStyle w:val="TableCell"/>
            </w:pPr>
          </w:p>
        </w:tc>
        <w:tc>
          <w:tcPr>
            <w:tcW w:w="800" w:type="pct"/>
            <w:vAlign w:val="center"/>
          </w:tcPr>
          <w:p w14:paraId="1EBF560E" w14:textId="77777777" w:rsidR="008A604D" w:rsidRDefault="008A604D">
            <w:pPr>
              <w:pStyle w:val="TableCell"/>
            </w:pPr>
          </w:p>
        </w:tc>
      </w:tr>
      <w:tr w:rsidR="008A604D" w14:paraId="487641BC" w14:textId="77777777">
        <w:trPr>
          <w:cantSplit/>
        </w:trPr>
        <w:tc>
          <w:tcPr>
            <w:tcW w:w="1000" w:type="pct"/>
            <w:shd w:val="clear" w:color="auto" w:fill="F4F8FB"/>
            <w:vAlign w:val="center"/>
          </w:tcPr>
          <w:p w14:paraId="361ADE9A" w14:textId="77777777" w:rsidR="008A604D" w:rsidRDefault="00FD36DC">
            <w:pPr>
              <w:pStyle w:val="TableLabelCell"/>
            </w:pPr>
            <w:r>
              <w:t>Approved by</w:t>
            </w:r>
          </w:p>
        </w:tc>
        <w:tc>
          <w:tcPr>
            <w:tcW w:w="1100" w:type="pct"/>
            <w:vAlign w:val="center"/>
          </w:tcPr>
          <w:p w14:paraId="3FDA84F3" w14:textId="77777777" w:rsidR="008A604D" w:rsidRDefault="00FD36DC">
            <w:pPr>
              <w:pStyle w:val="TableCell"/>
            </w:pPr>
            <w:r>
              <w:t>[Name]</w:t>
            </w:r>
          </w:p>
        </w:tc>
        <w:tc>
          <w:tcPr>
            <w:tcW w:w="1100" w:type="pct"/>
            <w:vAlign w:val="center"/>
          </w:tcPr>
          <w:p w14:paraId="3D2B314C" w14:textId="77777777" w:rsidR="008A604D" w:rsidRDefault="00FD36DC">
            <w:pPr>
              <w:pStyle w:val="TableCell"/>
            </w:pPr>
            <w:r>
              <w:t>[Position]</w:t>
            </w:r>
          </w:p>
        </w:tc>
        <w:tc>
          <w:tcPr>
            <w:tcW w:w="1000" w:type="pct"/>
            <w:vAlign w:val="center"/>
          </w:tcPr>
          <w:p w14:paraId="3D0F1457" w14:textId="77777777" w:rsidR="008A604D" w:rsidRDefault="008A604D">
            <w:pPr>
              <w:pStyle w:val="TableCell"/>
            </w:pPr>
          </w:p>
        </w:tc>
        <w:tc>
          <w:tcPr>
            <w:tcW w:w="800" w:type="pct"/>
            <w:vAlign w:val="center"/>
          </w:tcPr>
          <w:p w14:paraId="068C1E62" w14:textId="77777777" w:rsidR="008A604D" w:rsidRDefault="008A604D">
            <w:pPr>
              <w:pStyle w:val="TableCell"/>
            </w:pPr>
          </w:p>
        </w:tc>
      </w:tr>
    </w:tbl>
    <w:p w14:paraId="7BC4A29C" w14:textId="77777777" w:rsidR="00FD36DC" w:rsidRDefault="00FD36DC"/>
    <w:sectPr w:rsidR="00FD36DC">
      <w:footerReference w:type="default" r:id="rId10"/>
      <w:pgSz w:w="11906" w:h="16838"/>
      <w:pgMar w:top="1296" w:right="1440" w:bottom="129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5684" w14:textId="77777777" w:rsidR="00F30A04" w:rsidRDefault="00F30A04">
      <w:pPr>
        <w:spacing w:after="0" w:line="240" w:lineRule="auto"/>
      </w:pPr>
      <w:r>
        <w:separator/>
      </w:r>
    </w:p>
  </w:endnote>
  <w:endnote w:type="continuationSeparator" w:id="0">
    <w:p w14:paraId="7A7DB59C" w14:textId="77777777" w:rsidR="00F30A04" w:rsidRDefault="00F30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E3F3" w14:textId="77777777" w:rsidR="008A604D" w:rsidRDefault="00FD36DC">
    <w:pPr>
      <w:pStyle w:val="Footer"/>
      <w:pBdr>
        <w:top w:val="single" w:sz="4" w:space="6" w:color="D8E1E8"/>
      </w:pBdr>
    </w:pPr>
    <w:r>
      <w:t>Green Ports Toolkit — Request to adopt the Green Ports Toolkit</w:t>
    </w:r>
    <w:r>
      <w:tab/>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06E4" w14:textId="77777777" w:rsidR="00F30A04" w:rsidRDefault="00F30A04">
      <w:pPr>
        <w:spacing w:after="0" w:line="240" w:lineRule="auto"/>
      </w:pPr>
      <w:r>
        <w:separator/>
      </w:r>
    </w:p>
  </w:footnote>
  <w:footnote w:type="continuationSeparator" w:id="0">
    <w:p w14:paraId="0D050CFC" w14:textId="77777777" w:rsidR="00F30A04" w:rsidRDefault="00F30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B40"/>
    <w:multiLevelType w:val="hybridMultilevel"/>
    <w:tmpl w:val="A2725D18"/>
    <w:lvl w:ilvl="0" w:tplc="E690B736">
      <w:start w:val="1"/>
      <w:numFmt w:val="bullet"/>
      <w:lvlText w:val="•"/>
      <w:lvlJc w:val="left"/>
      <w:pPr>
        <w:ind w:left="454" w:hanging="284"/>
      </w:pPr>
      <w:rPr>
        <w:rFonts w:ascii="Arial" w:hAnsi="Arial" w:hint="default"/>
        <w:color w:val="8DC63F"/>
      </w:rPr>
    </w:lvl>
    <w:lvl w:ilvl="1" w:tplc="35EC1286">
      <w:numFmt w:val="decimal"/>
      <w:lvlText w:val=""/>
      <w:lvlJc w:val="left"/>
    </w:lvl>
    <w:lvl w:ilvl="2" w:tplc="E8EC418A">
      <w:numFmt w:val="decimal"/>
      <w:lvlText w:val=""/>
      <w:lvlJc w:val="left"/>
    </w:lvl>
    <w:lvl w:ilvl="3" w:tplc="A4723AB4">
      <w:numFmt w:val="decimal"/>
      <w:lvlText w:val=""/>
      <w:lvlJc w:val="left"/>
    </w:lvl>
    <w:lvl w:ilvl="4" w:tplc="8E40BEEE">
      <w:numFmt w:val="decimal"/>
      <w:lvlText w:val=""/>
      <w:lvlJc w:val="left"/>
    </w:lvl>
    <w:lvl w:ilvl="5" w:tplc="2B828F36">
      <w:numFmt w:val="decimal"/>
      <w:lvlText w:val=""/>
      <w:lvlJc w:val="left"/>
    </w:lvl>
    <w:lvl w:ilvl="6" w:tplc="A3A471EC">
      <w:numFmt w:val="decimal"/>
      <w:lvlText w:val=""/>
      <w:lvlJc w:val="left"/>
    </w:lvl>
    <w:lvl w:ilvl="7" w:tplc="01B4B35A">
      <w:numFmt w:val="decimal"/>
      <w:lvlText w:val=""/>
      <w:lvlJc w:val="left"/>
    </w:lvl>
    <w:lvl w:ilvl="8" w:tplc="3648DE72">
      <w:numFmt w:val="decimal"/>
      <w:lvlText w:val=""/>
      <w:lvlJc w:val="left"/>
    </w:lvl>
  </w:abstractNum>
  <w:num w:numId="1" w16cid:durableId="119676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04D"/>
    <w:rsid w:val="00085CE3"/>
    <w:rsid w:val="00110CFB"/>
    <w:rsid w:val="003C36F2"/>
    <w:rsid w:val="00424EE9"/>
    <w:rsid w:val="00491759"/>
    <w:rsid w:val="00802810"/>
    <w:rsid w:val="008A604D"/>
    <w:rsid w:val="008A6AE2"/>
    <w:rsid w:val="00B7171F"/>
    <w:rsid w:val="00C2035A"/>
    <w:rsid w:val="00C3529F"/>
    <w:rsid w:val="00E30FD0"/>
    <w:rsid w:val="00F30A04"/>
    <w:rsid w:val="00FD36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96A10"/>
  <w15:docId w15:val="{C3E9FFB9-43DF-4D1E-A2CA-43B6664F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color w:val="12486B"/>
        <w:sz w:val="21"/>
        <w:szCs w:val="21"/>
        <w:lang w:val="en-AU" w:eastAsia="en-AU"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pBdr>
        <w:bottom w:val="single" w:sz="12" w:space="6" w:color="8DC63F"/>
      </w:pBdr>
      <w:spacing w:before="480" w:after="220"/>
      <w:outlineLvl w:val="0"/>
    </w:pPr>
    <w:rPr>
      <w:b/>
      <w:caps/>
      <w:color w:val="007DB6"/>
      <w:spacing w:val="8"/>
      <w:sz w:val="32"/>
      <w:szCs w:val="32"/>
    </w:rPr>
  </w:style>
  <w:style w:type="paragraph" w:styleId="Heading2">
    <w:name w:val="heading 2"/>
    <w:basedOn w:val="Normal"/>
    <w:uiPriority w:val="9"/>
    <w:unhideWhenUsed/>
    <w:qFormat/>
    <w:pPr>
      <w:keepNext/>
      <w:spacing w:before="320" w:after="120"/>
      <w:outlineLvl w:val="1"/>
    </w:pPr>
    <w:rPr>
      <w:b/>
      <w:sz w:val="25"/>
      <w:szCs w:val="25"/>
    </w:rPr>
  </w:style>
  <w:style w:type="paragraph" w:styleId="Heading3">
    <w:name w:val="heading 3"/>
    <w:basedOn w:val="Normal"/>
    <w:uiPriority w:val="9"/>
    <w:semiHidden/>
    <w:unhideWhenUsed/>
    <w:qFormat/>
    <w:pPr>
      <w:keepNext/>
      <w:spacing w:before="260" w:after="100"/>
      <w:outlineLvl w:val="2"/>
    </w:pPr>
    <w:rPr>
      <w:b/>
      <w:color w:val="007DB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
    <w:name w:val="Body Copy"/>
    <w:basedOn w:val="Normal"/>
    <w:qFormat/>
  </w:style>
  <w:style w:type="paragraph" w:customStyle="1" w:styleId="Guidance">
    <w:name w:val="Guidance"/>
    <w:basedOn w:val="Normal"/>
    <w:qFormat/>
    <w:pPr>
      <w:spacing w:after="160"/>
    </w:pPr>
    <w:rPr>
      <w:i/>
      <w:color w:val="5F7787"/>
      <w:sz w:val="19"/>
      <w:szCs w:val="19"/>
    </w:rPr>
  </w:style>
  <w:style w:type="paragraph" w:customStyle="1" w:styleId="FieldLabel">
    <w:name w:val="Field Label"/>
    <w:basedOn w:val="Normal"/>
    <w:qFormat/>
    <w:pPr>
      <w:keepNext/>
      <w:spacing w:before="220" w:after="60"/>
    </w:pPr>
    <w:rPr>
      <w:b/>
      <w:caps/>
      <w:color w:val="007DB6"/>
      <w:spacing w:val="24"/>
      <w:sz w:val="17"/>
      <w:szCs w:val="17"/>
    </w:rPr>
  </w:style>
  <w:style w:type="paragraph" w:customStyle="1" w:styleId="Placeholder">
    <w:name w:val="Placeholder"/>
    <w:basedOn w:val="Normal"/>
    <w:qFormat/>
    <w:pPr>
      <w:spacing w:before="40" w:after="40" w:line="264" w:lineRule="auto"/>
    </w:pPr>
    <w:rPr>
      <w:i/>
      <w:color w:val="5F7787"/>
    </w:rPr>
  </w:style>
  <w:style w:type="paragraph" w:customStyle="1" w:styleId="TableCell">
    <w:name w:val="Table Cell"/>
    <w:basedOn w:val="Normal"/>
    <w:qFormat/>
    <w:pPr>
      <w:spacing w:before="70" w:after="70" w:line="252" w:lineRule="auto"/>
    </w:pPr>
    <w:rPr>
      <w:sz w:val="19"/>
      <w:szCs w:val="19"/>
    </w:rPr>
  </w:style>
  <w:style w:type="paragraph" w:customStyle="1" w:styleId="TableLabelCell">
    <w:name w:val="Table Label Cell"/>
    <w:basedOn w:val="TableCell"/>
    <w:qFormat/>
    <w:rPr>
      <w:b/>
    </w:rPr>
  </w:style>
  <w:style w:type="paragraph" w:customStyle="1" w:styleId="TableHeadCell">
    <w:name w:val="Table Head Cell"/>
    <w:basedOn w:val="TableCell"/>
    <w:qFormat/>
    <w:pPr>
      <w:spacing w:before="80" w:after="80"/>
    </w:pPr>
    <w:rPr>
      <w:b/>
      <w:caps/>
      <w:color w:val="FFFFFF"/>
      <w:spacing w:val="16"/>
      <w:sz w:val="17"/>
      <w:szCs w:val="17"/>
    </w:rPr>
  </w:style>
  <w:style w:type="paragraph" w:styleId="ListParagraph">
    <w:name w:val="List Paragraph"/>
    <w:basedOn w:val="Normal"/>
    <w:qFormat/>
    <w:pPr>
      <w:spacing w:before="40" w:after="40"/>
      <w:ind w:left="454" w:hanging="284"/>
      <w:contextualSpacing/>
    </w:pPr>
  </w:style>
  <w:style w:type="paragraph" w:customStyle="1" w:styleId="Spacer">
    <w:name w:val="Spacer"/>
    <w:basedOn w:val="Normal"/>
    <w:qFormat/>
    <w:pPr>
      <w:spacing w:after="0" w:line="240" w:lineRule="auto"/>
    </w:pPr>
    <w:rPr>
      <w:sz w:val="12"/>
      <w:szCs w:val="12"/>
    </w:rPr>
  </w:style>
  <w:style w:type="paragraph" w:customStyle="1" w:styleId="CoverEyebrow">
    <w:name w:val="Cover Eyebrow"/>
    <w:basedOn w:val="Normal"/>
    <w:qFormat/>
    <w:pPr>
      <w:spacing w:after="200"/>
    </w:pPr>
    <w:rPr>
      <w:b/>
      <w:caps/>
      <w:color w:val="8DC63F"/>
      <w:spacing w:val="80"/>
      <w:sz w:val="22"/>
      <w:szCs w:val="22"/>
    </w:rPr>
  </w:style>
  <w:style w:type="paragraph" w:customStyle="1" w:styleId="CoverTitle">
    <w:name w:val="Cover Title"/>
    <w:basedOn w:val="Normal"/>
    <w:qFormat/>
    <w:pPr>
      <w:spacing w:after="120" w:line="216" w:lineRule="auto"/>
    </w:pPr>
    <w:rPr>
      <w:b/>
      <w:sz w:val="64"/>
      <w:szCs w:val="64"/>
    </w:rPr>
  </w:style>
  <w:style w:type="paragraph" w:customStyle="1" w:styleId="CoverSubtitle">
    <w:name w:val="Cover Subtitle"/>
    <w:basedOn w:val="Normal"/>
    <w:qFormat/>
    <w:pPr>
      <w:spacing w:after="240"/>
    </w:pPr>
    <w:rPr>
      <w:color w:val="007DB6"/>
      <w:sz w:val="28"/>
      <w:szCs w:val="28"/>
    </w:rPr>
  </w:style>
  <w:style w:type="paragraph" w:customStyle="1" w:styleId="CoverIntro">
    <w:name w:val="Cover Intro"/>
    <w:basedOn w:val="Normal"/>
    <w:qFormat/>
    <w:pPr>
      <w:spacing w:after="200" w:line="288" w:lineRule="auto"/>
    </w:pPr>
  </w:style>
  <w:style w:type="paragraph" w:styleId="Footer">
    <w:name w:val="footer"/>
    <w:basedOn w:val="Normal"/>
    <w:qFormat/>
    <w:pPr>
      <w:tabs>
        <w:tab w:val="right" w:pos="9026"/>
      </w:tabs>
      <w:spacing w:after="0"/>
    </w:pPr>
    <w:rPr>
      <w:caps/>
      <w:color w:val="5F7787"/>
      <w:spacing w:val="20"/>
      <w:sz w:val="16"/>
      <w:szCs w:val="16"/>
    </w:rPr>
  </w:style>
  <w:style w:type="table" w:customStyle="1" w:styleId="GreenPortTable">
    <w:name w:val="Green Port Table"/>
    <w:tblPr>
      <w:tblBorders>
        <w:top w:val="single" w:sz="4" w:space="0" w:color="D8E1E8"/>
        <w:left w:val="single" w:sz="4" w:space="0" w:color="D8E1E8"/>
        <w:bottom w:val="single" w:sz="4" w:space="0" w:color="D8E1E8"/>
        <w:right w:val="single" w:sz="4" w:space="0" w:color="D8E1E8"/>
        <w:insideH w:val="single" w:sz="4" w:space="0" w:color="E9EFF3"/>
        <w:insideV w:val="single" w:sz="4" w:space="0" w:color="E9EFF3"/>
      </w:tblBorders>
      <w:tblCellMar>
        <w:top w:w="85" w:type="dxa"/>
        <w:left w:w="113" w:type="dxa"/>
        <w:bottom w:w="85" w:type="dxa"/>
        <w:right w:w="113" w:type="dxa"/>
      </w:tblCellMar>
    </w:tblPr>
  </w:style>
  <w:style w:type="table" w:customStyle="1" w:styleId="GreenPortEntryBox">
    <w:name w:val="Green Port Entry Box"/>
    <w:tblPr>
      <w:tblBorders>
        <w:top w:val="single" w:sz="4" w:space="0" w:color="D8E1E8"/>
        <w:left w:val="single" w:sz="4" w:space="0" w:color="D8E1E8"/>
        <w:bottom w:val="single" w:sz="4" w:space="0" w:color="D8E1E8"/>
        <w:right w:val="single" w:sz="4" w:space="0" w:color="D8E1E8"/>
      </w:tblBorders>
      <w:tblCellMar>
        <w:top w:w="142" w:type="dxa"/>
        <w:left w:w="170" w:type="dxa"/>
        <w:bottom w:w="142" w:type="dxa"/>
        <w:right w:w="170" w:type="dxa"/>
      </w:tblCellMar>
    </w:tblPr>
  </w:style>
  <w:style w:type="table" w:customStyle="1" w:styleId="GreenPortBand">
    <w:name w:val="Green Port Ban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cdc32-362a-43bd-87bc-9b31014060e3">
      <Terms xmlns="http://schemas.microsoft.com/office/infopath/2007/PartnerControls"/>
    </lcf76f155ced4ddcb4097134ff3c332f>
    <TaxCatchAll xmlns="252e72e0-9596-482a-8c52-dc27b40e54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8D042E81BAB42BFEFBEBE7CC939B4" ma:contentTypeVersion="18" ma:contentTypeDescription="Create a new document." ma:contentTypeScope="" ma:versionID="aa82caa0e96409adf08fd6f6ae438298">
  <xsd:schema xmlns:xsd="http://www.w3.org/2001/XMLSchema" xmlns:xs="http://www.w3.org/2001/XMLSchema" xmlns:p="http://schemas.microsoft.com/office/2006/metadata/properties" xmlns:ns2="dcecdc32-362a-43bd-87bc-9b31014060e3" xmlns:ns3="252e72e0-9596-482a-8c52-dc27b40e54e6" targetNamespace="http://schemas.microsoft.com/office/2006/metadata/properties" ma:root="true" ma:fieldsID="0690fcdf5d924df2209d59155ae22c01" ns2:_="" ns3:_="">
    <xsd:import namespace="dcecdc32-362a-43bd-87bc-9b31014060e3"/>
    <xsd:import namespace="252e72e0-9596-482a-8c52-dc27b40e54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cdc32-362a-43bd-87bc-9b3101406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be1f70-c53d-4a23-aed5-701d54ca0c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e72e0-9596-482a-8c52-dc27b40e54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ddfdda-eb9a-4d3f-97f4-e48c794c4fc4}" ma:internalName="TaxCatchAll" ma:showField="CatchAllData" ma:web="252e72e0-9596-482a-8c52-dc27b40e54e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C8616-FBAD-46F2-8333-BA6C687DE0ED}">
  <ds:schemaRefs>
    <ds:schemaRef ds:uri="http://schemas.microsoft.com/sharepoint/v3/contenttype/forms"/>
  </ds:schemaRefs>
</ds:datastoreItem>
</file>

<file path=customXml/itemProps2.xml><?xml version="1.0" encoding="utf-8"?>
<ds:datastoreItem xmlns:ds="http://schemas.openxmlformats.org/officeDocument/2006/customXml" ds:itemID="{012F0152-76DA-48C3-8F5F-980774EC250B}">
  <ds:schemaRefs>
    <ds:schemaRef ds:uri="http://schemas.microsoft.com/office/2006/metadata/properties"/>
    <ds:schemaRef ds:uri="http://schemas.microsoft.com/office/infopath/2007/PartnerControls"/>
    <ds:schemaRef ds:uri="dcecdc32-362a-43bd-87bc-9b31014060e3"/>
    <ds:schemaRef ds:uri="252e72e0-9596-482a-8c52-dc27b40e54e6"/>
  </ds:schemaRefs>
</ds:datastoreItem>
</file>

<file path=customXml/itemProps3.xml><?xml version="1.0" encoding="utf-8"?>
<ds:datastoreItem xmlns:ds="http://schemas.openxmlformats.org/officeDocument/2006/customXml" ds:itemID="{257D81FF-54AE-4372-8AF7-0454668C4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cdc32-362a-43bd-87bc-9b31014060e3"/>
    <ds:schemaRef ds:uri="252e72e0-9596-482a-8c52-dc27b40e5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901</Words>
  <Characters>5138</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adopt the Green Ports Toolkit</dc:title>
  <dc:subject/>
  <dc:creator>Green Ports Toolkit</dc:creator>
  <cp:keywords/>
  <cp:lastModifiedBy>Jackie</cp:lastModifiedBy>
  <cp:revision>10</cp:revision>
  <cp:lastPrinted>2026-09-29T06:40:00Z</cp:lastPrinted>
  <dcterms:created xsi:type="dcterms:W3CDTF">2026-09-28T07:05:00Z</dcterms:created>
  <dcterms:modified xsi:type="dcterms:W3CDTF">2026-09-29T06:40:00Z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0x0101001EA8D042E81BAB42BFEFBEBE7CC939B4</vt:lpwstr>
  </property>
  <property fmtid="{D5CDD505-2E9C-101B-9397-08002B2CF9AE}" pid="3" name="docLang">
    <vt:lpwstr>en</vt:lpwstr>
  </property>
  <property fmtid="{D5CDD505-2E9C-101B-9397-08002B2CF9AE}" pid="4" name="MediaServiceImageTags">
    <vt:lpwstr/>
  </property>
</Properties>
</file>